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 REGISTRATION LAMP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