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3-A. Electric personal assistive mobilit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A. Electric personal assistive mobilit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A. ELECTRIC PERSONAL ASSISTIVE MOBILIT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