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91. Control of vehicular traffic at emergency sce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Control of vehicular traffic at emergency sce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1. CONTROL OF VEHICULAR TRAFFIC AT EMERGENCY SCE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