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§2360. Excess vehicle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Excess vehicle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§2360. EXCESS VEHICLE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