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2413-A</w:t>
        <w:t xml:space="preserve">.  </w:t>
      </w:r>
      <w:r>
        <w:rPr>
          <w:b/>
        </w:rPr>
        <w:t xml:space="preserve">Motor vehicle violation resulting in death</w:t>
      </w:r>
    </w:p>
    <w:p>
      <w:pPr>
        <w:jc w:val="both"/>
        <w:spacing w:before="100" w:after="0"/>
        <w:ind w:start="360"/>
        <w:ind w:firstLine="360"/>
      </w:pPr>
      <w:r>
        <w:rPr>
          <w:b/>
        </w:rPr>
        <w:t>1</w:t>
        <w:t xml:space="preserve">.  </w:t>
      </w:r>
      <w:r>
        <w:rPr>
          <w:b/>
        </w:rPr>
        <w:t xml:space="preserve">Offense.</w:t>
        <w:t xml:space="preserve"> </w:t>
      </w:r>
      <w:r>
        <w:t xml:space="preserve"> </w:t>
      </w:r>
      <w:r>
        <w:t xml:space="preserve">A person commits the civil violation of motor vehicle violation resulting in death if that person, while operating a motor vehicle and committing a traffic infraction, causes the death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182, §1 (NEW).]</w:t>
      </w:r>
    </w:p>
    <w:p>
      <w:pPr>
        <w:jc w:val="both"/>
        <w:spacing w:before="100" w:after="0"/>
        <w:ind w:start="360"/>
        <w:ind w:firstLine="360"/>
      </w:pPr>
      <w:r>
        <w:rPr>
          <w:b/>
        </w:rPr>
        <w:t>2</w:t>
        <w:t xml:space="preserve">.  </w:t>
      </w:r>
      <w:r>
        <w:rPr>
          <w:b/>
        </w:rPr>
        <w:t xml:space="preserve">Pleading and proof.</w:t>
        <w:t xml:space="preserve"> </w:t>
      </w:r>
      <w:r>
        <w:t xml:space="preserve"> </w:t>
      </w:r>
      <w:r>
        <w:t xml:space="preserve">The State must prove that the defendant's committing a traffic infraction while operating a motor vehicle caused the death under </w:t>
      </w:r>
      <w:r>
        <w:t>subsection 1</w:t>
      </w:r>
      <w:r>
        <w:t xml:space="preserve">.  The court shall apply </w:t>
      </w:r>
      <w:r>
        <w:t>Title 17‑A, section 33</w:t>
      </w:r>
      <w:r>
        <w:t xml:space="preserve"> in assessing any causation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182, §1 (NEW).]</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civil violation for which a fine of not more than $5,000 may be adjudged. Any portion of the fine adjudged may be satisfied by a court-ordered requirement of community service work. The court shall also impose a license suspension of no less than 14 days and up to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§2413-A. Motor vehicle violation resulting in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§2413-A. Motor vehicle violation resulting in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§2413-A. MOTOR VEHICLE VIOLATION RESULTING IN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