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Conditional or restricted license upon completion of alcohol and drug program</w:t>
      </w:r>
    </w:p>
    <w:p>
      <w:pPr>
        <w:jc w:val="both"/>
        <w:spacing w:before="100" w:after="100"/>
        <w:ind w:start="360"/>
        <w:ind w:firstLine="360"/>
      </w:pPr>
      <w:r>
        <w:rPr/>
      </w:r>
      <w:r>
        <w:rPr/>
      </w:r>
      <w:r>
        <w:t xml:space="preserve">Following the expiration of the total period of suspension and on receipt of written notice that the person has satisfactorily completed the alcohol and drug program required by </w:t>
      </w:r>
      <w:r>
        <w:t>Title 5, section 20073‑B</w:t>
      </w:r>
      <w:r>
        <w:t xml:space="preserve">, the Secretary of State may issue a license subject to the conditions, restrictions or terms that the Secretary of State considers advisable for the safety of the public and the welfare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448,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448,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§2504. Conditional or restricted license upon completion of alcohol and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Conditional or restricted license upon completion of alcohol and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§2504. CONDITIONAL OR RESTRICTED LICENSE UPON COMPLETION OF ALCOHOL AND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