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565, §1 (AMD). PL 2009, c. 447, §67 (AMD). PL 2013, c. 459, §9 (AMD). PL 2021, c. 608,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22.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2.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