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2555</w:t>
        <w:t xml:space="preserve">.  </w:t>
      </w:r>
      <w:r>
        <w:rPr>
          <w:b/>
        </w:rPr>
        <w:t xml:space="preserve">Revocation following restoration</w:t>
      </w:r>
    </w:p>
    <w:p>
      <w:pPr>
        <w:jc w:val="both"/>
        <w:spacing w:before="100" w:after="100"/>
        <w:ind w:start="360"/>
        <w:ind w:firstLine="360"/>
      </w:pPr>
      <w:r>
        <w:rPr/>
      </w:r>
      <w:r>
        <w:rPr/>
      </w:r>
      <w:r>
        <w:t xml:space="preserve">The Secretary of State shall revoke the license of a person whose license has been restored pursuant to </w:t>
      </w:r>
      <w:r>
        <w:t>section 2554</w:t>
      </w:r>
      <w:r>
        <w:t xml:space="preserve"> when: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New convictions.</w:t>
        <w:t xml:space="preserve"> </w:t>
      </w:r>
      <w:r>
        <w:t xml:space="preserve"> </w:t>
      </w:r>
      <w:r>
        <w:t xml:space="preserve">Within a 5-year period of the restoration, the person commits a new offense under </w:t>
      </w:r>
      <w:r>
        <w:t>section 2551‑A,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w:pPr>
        <w:jc w:val="both"/>
        <w:spacing w:before="100" w:after="0"/>
        <w:ind w:start="360"/>
        <w:ind w:firstLine="360"/>
      </w:pPr>
      <w:r>
        <w:rPr>
          <w:b/>
        </w:rPr>
        <w:t>2</w:t>
        <w:t xml:space="preserve">.  </w:t>
      </w:r>
      <w:r>
        <w:rPr>
          <w:b/>
        </w:rPr>
        <w:t xml:space="preserve">Continued liability.</w:t>
        <w:t xml:space="preserve"> </w:t>
      </w:r>
      <w:r>
        <w:t xml:space="preserve"> </w:t>
      </w:r>
      <w:r>
        <w:t xml:space="preserve">The person commits a new offense under </w:t>
      </w:r>
      <w:r>
        <w:t>section 2551‑A, subsection 1, paragraph A</w:t>
      </w:r>
      <w:r>
        <w:t xml:space="preserve"> and, within 5 years preceding the date of that new offense, the person's record shows accumulated convictions or adjudications, including the new offense, which results in that person's being defined as an habitual offender under </w:t>
      </w:r>
      <w:r>
        <w:t>section 2551‑A,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606,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606,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§2555. Revocation following restoration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§2555. Revocation following restoration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§2555. REVOCATION FOLLOWING RESTORATION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