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Application</w:t>
      </w:r>
    </w:p>
    <w:p>
      <w:pPr>
        <w:jc w:val="both"/>
        <w:spacing w:before="100" w:after="0"/>
        <w:ind w:start="360"/>
        <w:ind w:firstLine="360"/>
      </w:pPr>
      <w:r>
        <w:rPr>
          <w:b/>
        </w:rPr>
        <w:t>1</w:t>
        <w:t xml:space="preserve">.  </w:t>
      </w:r>
      <w:r>
        <w:rPr>
          <w:b/>
        </w:rPr>
        <w:t xml:space="preserve">Filing of application.</w:t>
        <w:t xml:space="preserve"> </w:t>
      </w:r>
      <w:r>
        <w:t xml:space="preserve"> </w:t>
      </w:r>
      <w:r>
        <w:t xml:space="preserve">Application for vehicle registration may be made by mail or otherwise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An application must contain information requested by the Secretary of State, including legal name, residence and address of the registrant, current mileage of a motor vehicle, a brief description of the vehicle, the maker, the vehicle identification number, the year of manufacture, and the type of motor fuel or motive power and, for trucks, truck tractors and special mobile equipment, the gross weight.  A registrant that is a corporation, trust, limited partnership or other similar entity must provide either a federal taxpayer identification number or an identification number issued by the department.  An initial application for registration must be signed by the registrant or the registrant's legal representative.  The Secretary of State shall keep initial applications on file until that registration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§4 (AMD).]</w:t>
      </w:r>
    </w:p>
    <w:p>
      <w:pPr>
        <w:jc w:val="both"/>
        <w:spacing w:before="100" w:after="100"/>
        <w:ind w:start="360"/>
        <w:ind w:firstLine="360"/>
      </w:pPr>
      <w:r>
        <w:rPr>
          <w:b/>
        </w:rPr>
        <w:t>3</w:t>
        <w:t xml:space="preserve">.  </w:t>
      </w:r>
      <w:r>
        <w:rPr>
          <w:b/>
        </w:rPr>
        <w:t xml:space="preserve">Issuance of registration.</w:t>
        <w:t xml:space="preserve"> </w:t>
      </w:r>
      <w:r>
        <w:t xml:space="preserve"> </w:t>
      </w:r>
      <w:r>
        <w:t xml:space="preserve">The Secretary of State, on approving the application, shall issue:</w:t>
      </w:r>
    </w:p>
    <w:p>
      <w:pPr>
        <w:jc w:val="both"/>
        <w:spacing w:before="100" w:after="0"/>
        <w:ind w:start="720"/>
      </w:pPr>
      <w:r>
        <w:rPr/>
        <w:t>A</w:t>
        <w:t xml:space="preserve">.  </w:t>
      </w:r>
      <w:r>
        <w:rPr/>
      </w:r>
      <w:r>
        <w:t xml:space="preserve">A registration number or other distinguishing mark;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of registration that contains the name, place of residence and address of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Refusal.</w:t>
        <w:t xml:space="preserve"> </w:t>
      </w:r>
      <w:r>
        <w:t xml:space="preserve"> </w:t>
      </w:r>
      <w:r>
        <w:t xml:space="preserve">The Secretary of State may refuse to register the vehicle or to issue a certificate if the applicant has not provided satisfactory information or if the Secretary of State determines that the type of vehicle should not be permitted to be on the highways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File.</w:t>
        <w:t xml:space="preserve"> </w:t>
      </w:r>
      <w:r>
        <w:t xml:space="preserve"> </w:t>
      </w:r>
      <w:r>
        <w:t xml:space="preserve">The Secretary of State shall maintain a file of applications and registrations arranged alphabetically according to the name of the applicant and numerically according to registration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§B3 (AMD). PL 1995, c. 645, §B7 (AMD). PL 1995, c. 645, §B24 (AFF). PL 2001, c. 361, §6 (AMD). PL 2001, c. 361, §38 (AFF). RR 2009, c. 2, §81 (COR). PL 2015, c. 473,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