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Secretary of State may issue unassigned temporary registration permits to a vehicle auction business licensed under </w:t>
      </w:r>
      <w:r>
        <w:t>section 1051</w:t>
      </w:r>
      <w:r>
        <w:t xml:space="preserve"> to allow the movement of a vehicle sold to a dealer.</w:t>
      </w:r>
      <w:r>
        <w:t xml:space="preserve">  </w:t>
      </w:r>
      <w:r xmlns:wp="http://schemas.openxmlformats.org/drawingml/2010/wordprocessingDrawing" xmlns:w15="http://schemas.microsoft.com/office/word/2012/wordml">
        <w:rPr>
          <w:rFonts w:ascii="Arial" w:hAnsi="Arial" w:cs="Arial"/>
          <w:sz w:val="22"/>
          <w:szCs w:val="22"/>
        </w:rPr>
        <w:t xml:space="preserve">[PL 2011, c. 556, §4 (NEW).]</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§8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§501.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