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Stock car</w:t>
      </w:r>
    </w:p>
    <w:p>
      <w:pPr>
        <w:jc w:val="both"/>
        <w:spacing w:before="100" w:after="100"/>
        <w:ind w:start="360"/>
        <w:ind w:firstLine="360"/>
      </w:pPr>
      <w:r>
        <w:rPr/>
      </w:r>
      <w:r>
        <w:rPr/>
      </w:r>
      <w:r>
        <w:t xml:space="preserve">The annual fee for registering a stock race car is $7.</w:t>
      </w:r>
      <w:r>
        <w:t xml:space="preserve">  </w:t>
      </w:r>
      <w:r xmlns:wp="http://schemas.openxmlformats.org/drawingml/2010/wordprocessingDrawing" xmlns:w15="http://schemas.microsoft.com/office/word/2012/wordml">
        <w:rPr>
          <w:rFonts w:ascii="Arial" w:hAnsi="Arial" w:cs="Arial"/>
          <w:sz w:val="22"/>
          <w:szCs w:val="22"/>
        </w:rPr>
        <w:t xml:space="preserve">[PL 1999, c. 790, Pt. C, §16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790, §C16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§516. Stock car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Stock car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§516. STOCK CAR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