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557</w:t>
        <w:t xml:space="preserve">.  </w:t>
      </w:r>
      <w:r>
        <w:rPr>
          <w:b/>
        </w:rPr>
        <w:t xml:space="preserve">Municipal authority</w:t>
      </w:r>
    </w:p>
    <w:p>
      <w:pPr>
        <w:jc w:val="both"/>
        <w:spacing w:before="100" w:after="100"/>
        <w:ind w:start="360"/>
        <w:ind w:firstLine="360"/>
      </w:pPr>
      <w:r>
        <w:rPr/>
      </w:r>
      <w:r>
        <w:rPr/>
      </w:r>
      <w:r>
        <w:t xml:space="preserve">This subchapter does not restrict the authority of a municipality to enact ordinances to regulate and control the routing, parking, speed or safety of operation of motor vehicles; to exercise general police power over its public ways; or to require compliance with certain conditions before a motor vehicle is operated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§557. Municipal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§557. Municipal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§557. MUNICIPAL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