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561-A</w:t>
        <w:t xml:space="preserve">.  </w:t>
      </w:r>
      <w:r>
        <w:rPr>
          <w:b/>
        </w:rPr>
        <w:t xml:space="preserve">Fines and fees</w:t>
      </w:r>
    </w:p>
    <w:p>
      <w:pPr>
        <w:jc w:val="both"/>
        <w:spacing w:before="100" w:after="100"/>
        <w:ind w:start="360"/>
        <w:ind w:firstLine="360"/>
      </w:pPr>
      <w:r>
        <w:rPr/>
      </w:r>
      <w:r>
        <w:rPr/>
      </w:r>
      <w:r>
        <w:t xml:space="preserve">Fines and fees authorized by this subchapter must be deposited with the Treasurer of State and accounted for by the State Controller as undedicated revenue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2001, c. 565,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§561-A. Fines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§561-A. Fines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§561-A. FINES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