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Secretary of State to check identification number</w:t>
      </w:r>
    </w:p>
    <w:p>
      <w:pPr>
        <w:jc w:val="both"/>
        <w:spacing w:before="100" w:after="100"/>
        <w:ind w:start="360"/>
        <w:ind w:firstLine="360"/>
      </w:pPr>
      <w:r>
        <w:rPr/>
      </w:r>
      <w:r>
        <w:rPr/>
      </w:r>
      <w:r>
        <w:t xml:space="preserve">Upon receiving an application for a certificate of title or certificate of salvage, the Secretary of State shall check the identification number in the application against the records of certificates issued and of stolen or converted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§656. Secretary of State to check identification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Secretary of State to check identification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§656. SECRETARY OF STATE TO CHECK IDENTIFICATION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