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Maine Lemon Law vehicle</w:t>
      </w:r>
    </w:p>
    <w:p>
      <w:pPr>
        <w:jc w:val="both"/>
        <w:spacing w:before="100" w:after="100"/>
        <w:ind w:start="360"/>
        <w:ind w:firstLine="360"/>
      </w:pPr>
      <w:r>
        <w:rPr/>
      </w:r>
      <w:r>
        <w:rPr/>
      </w:r>
      <w:r>
        <w:t xml:space="preserve">This section applies to any motor vehicle subject to the disclosure requirements of </w:t>
      </w:r>
      <w:r>
        <w:t>Title 10, section 1163, subsection 7</w:t>
      </w:r>
      <w:r>
        <w:t xml:space="preserve">.  A manufacturer to whom the motor vehicle was returned pursuant to </w:t>
      </w:r>
      <w:r>
        <w:t>Title 10, section 1163, subsection 2</w:t>
      </w:r>
      <w:r>
        <w:t xml:space="preserve"> shall return the title of the motor vehicle to the Secretary of State with an application for a new title in the name of the manufacturer.  The Secretary of State shall issue a certificate of title that includes the following brand: "Lemon Law Buyback."  All subsequent certificates of title to that vehicle must contain the same brand.</w:t>
      </w:r>
      <w:r>
        <w:t xml:space="preserve">  </w:t>
      </w:r>
      <w:r xmlns:wp="http://schemas.openxmlformats.org/drawingml/2010/wordprocessingDrawing" xmlns:w15="http://schemas.microsoft.com/office/word/2012/wordml">
        <w:rPr>
          <w:rFonts w:ascii="Arial" w:hAnsi="Arial" w:cs="Arial"/>
          <w:sz w:val="22"/>
          <w:szCs w:val="22"/>
        </w:rPr>
        <w:t xml:space="preserve">[PL 2007, c. 383,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§670. Maine Lemon Law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Maine Lemon Law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§670. MAINE LEMON LAW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