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123</w:t>
        <w:t xml:space="preserve">.  </w:t>
      </w:r>
      <w:r>
        <w:rPr>
          <w:b/>
        </w:rPr>
        <w:t xml:space="preserve">No notice; petition referred</w:t>
      </w:r>
    </w:p>
    <w:p>
      <w:pPr>
        <w:jc w:val="both"/>
        <w:spacing w:before="100" w:after="100"/>
        <w:ind w:start="360"/>
        <w:ind w:firstLine="360"/>
      </w:pPr>
      <w:r>
        <w:rPr/>
      </w:r>
      <w:r>
        <w:rPr/>
      </w:r>
      <w:r>
        <w:t xml:space="preserve">Petitions mentioned in </w:t>
      </w:r>
      <w:r>
        <w:t>sections 121</w:t>
      </w:r>
      <w:r>
        <w:t xml:space="preserve"> and </w:t>
      </w:r>
      <w:r>
        <w:t>122</w:t>
      </w:r>
      <w:r>
        <w:t xml:space="preserve"> without proof of notice as prescribed shall be referred, with order of notice, to the next Legislature.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§123. No notice; petition referred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§123. No notice; petition referred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§123. NO NOTICE; PETITION REFERRED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