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 Service;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Service;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§124. SERVICE;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