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w:t>
        <w:t xml:space="preserve">.  </w:t>
      </w:r>
      <w:r>
        <w:rPr>
          <w:b/>
        </w:rPr>
        <w:t xml:space="preserve">Public hearings</w:t>
      </w:r>
    </w:p>
    <w:p>
      <w:pPr>
        <w:jc w:val="both"/>
        <w:spacing w:before="100" w:after="100"/>
        <w:ind w:start="360"/>
        <w:ind w:firstLine="360"/>
      </w:pPr>
      <w:r>
        <w:rPr/>
      </w:r>
      <w:r>
        <w:rPr/>
      </w:r>
      <w:r>
        <w:t xml:space="preserve">The public hearing must be held within 30 days of the posting date except for nominations for judicial officers, for which the public hearing must be held within 35 days of the posting date.  The Legislative Information Office shall advertise all public hearings at least 7 days before the public hearing in both the state paper and in a newspaper of general circulation in the area in which the nominee resides.  The advertisement must contain the name of the nominee, the position for which the nomination has been made, a summary of the duties of the position, the time, place and date of the public hearing and a statement that written comments relevant to the qualifications of the nominee, together with supporting materials, may be filed with the Legislative Information Office by 9 a.m. on the hearing date.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Additional background information developed by the partisan assistants must be filed with the Legislative Information Office by 9 a.m. on the hearing date.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For the purposes of reviewing nominations pursuant to this chapter, the appropriate joint standing committee may administer oaths and take testimony under oath.  Notwithstanding the provisions of </w:t>
      </w:r>
      <w:r>
        <w:t>section 165, subsection 7</w:t>
      </w:r>
      <w:r>
        <w:t xml:space="preserve">, the Legislature or, when the Legislature is not in session, the Legislative Council may grant to the joint standing committee reviewing a nomination any of the powers under </w:t>
      </w:r>
      <w:r>
        <w:t>section 165,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The committee may take testimony under oath and shall consider the materials on file with the Legislative Information Office.  The committee may meet in executive session if new information is raised at the public hearing that, if known earlier, would have been subject to discussion at the prehearing conference.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The committee shall vote on the nomination within 35 days of the posting date, except that for nominations for judicial officers the committee shall vote within 40 days.  A vote may not be taken sooner than 15 minutes after the close of the public hearing unless all members of the committee who are present agree.  Upon a motion to confirm, properly made and seconded, the committee shall recommend confirmation or denial by a majority vote of the members present and voting at the time the vote is taken.  The committee vote is by yeas and nays.  Notwithstanding any other rule or provision of law, a member must be present to vote and the vote may not be modified except upon a proper motion for reconsideration.</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A tie vote of the committee is deemed a recommendation for denial.  The committee chairs shall promptly notify the President of the Senate of the committee's recommendation and the results of the vote, listing the yeas and nays.</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§157. Public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 Public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§157. PUBLIC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