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Privileges</w:t>
      </w:r>
    </w:p>
    <w:p>
      <w:pPr>
        <w:jc w:val="both"/>
        <w:spacing w:before="100" w:after="100"/>
        <w:ind w:start="360"/>
        <w:ind w:firstLine="360"/>
      </w:pPr>
      <w:r>
        <w:rPr/>
      </w:r>
      <w:r>
        <w:rPr/>
      </w:r>
      <w:r>
        <w:t xml:space="preserve">The witness must be given the benefit of any privilege which the witness could have claimed in court as a party to a civil action, provided that the committee chair may direct compliance with any request for testimony to which claim of privilege has been made. However, the  chair's direction may be overruled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§457. Privileges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Privileges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§457. PRIVILEGES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