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When approval of legislation by an Indian tribe or Indian nation is required by the United States Code, Title 25, Section 1725(e), or other act of Congress, certification of that approval shall be made to the Secretary of State by the officer of the affected Indian tribe or Indian nation designated in section 602 or 603.  The certification shall state the date and manner of approval of the legislation and shall be prima facie evidence of approval.  The Secretary of State shall forthwith transmit certified copies of the certification of approval to the Secretary of the Senate and the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148, §§1, 4 (AMD);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Approval of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Approval of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§601. APPROVAL OF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