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any body of State Government authorized by law to adopt rules under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2</w:t>
        <w:t xml:space="preserve">.  </w:t>
      </w:r>
      <w:r>
        <w:rPr>
          <w:b/>
        </w:rPr>
        <w:t xml:space="preserve">Committee of jurisdiction.</w:t>
        <w:t xml:space="preserve"> </w:t>
      </w:r>
      <w:r>
        <w:t xml:space="preserve"> </w:t>
      </w:r>
      <w:r>
        <w:t xml:space="preserve">"Committee of jurisdiction" means the joint standing committee of the Legislature having jurisdiction over the policy and subject matter of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3</w:t>
        <w:t xml:space="preserve">.  </w:t>
      </w:r>
      <w:r>
        <w:rPr>
          <w:b/>
        </w:rPr>
        <w:t xml:space="preserve">Retrospective review.</w:t>
        <w:t xml:space="preserve"> </w:t>
      </w:r>
      <w:r>
        <w:t xml:space="preserve"> </w:t>
      </w:r>
      <w:r>
        <w:t xml:space="preserve">"Retrospective review" means a review of a rule by an agency for any change in the relevance, clarity and reasonableness of the rule between the time of its initial adoption and the time of the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