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§999. FULL EVALUATION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