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w:t>
      </w:r>
    </w:p>
    <w:p>
      <w:pPr>
        <w:jc w:val="center"/>
        <w:ind w:start="360"/>
        <w:spacing w:before="300" w:after="300"/>
      </w:pPr>
      <w:r>
        <w:rPr>
          <w:b/>
        </w:rPr>
        <w:t xml:space="preserve">EMERGENCY MANAGEMENT</w:t>
      </w:r>
    </w:p>
    <w:p>
      <w:pPr>
        <w:jc w:val="both"/>
        <w:spacing w:before="100" w:after="100"/>
        <w:ind w:start="1080" w:hanging="720"/>
      </w:pPr>
      <w:r>
        <w:rPr>
          <w:b/>
        </w:rPr>
        <w:t>§</w:t>
        <w:t>1101</w:t>
        <w:t xml:space="preserve">.  </w:t>
      </w:r>
      <w:r>
        <w:rPr>
          <w:b/>
        </w:rPr>
        <w:t xml:space="preserve">Activities authorized; costs</w:t>
      </w:r>
    </w:p>
    <w:p>
      <w:pPr>
        <w:jc w:val="both"/>
        <w:spacing w:before="100" w:after="100"/>
        <w:ind w:start="360"/>
        <w:ind w:firstLine="360"/>
      </w:pPr>
      <w:r>
        <w:rPr/>
      </w:r>
      <w:r>
        <w:rPr/>
      </w:r>
      <w:r>
        <w:t xml:space="preserve">County commissioners may provide for emergency management activities as provided by law within their respective counties.  The county commissioners shall include the cost of these activities in the annual estimate under </w:t>
      </w:r>
      <w:r>
        <w:t>chapter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462,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 C106 (NEW). PL 1989, c. 6 (AMD). PL 1989, c. 9, §2 (AMD). PL 1989, c. 104, §§C8, 10 (AMD). PL 2013, c. 462,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7. EMERGENCY MANAGEMENT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 EMERGENCY MANAGEMENT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Chapter 7. EMERGENCY MANAGEMENT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