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Transfer of property and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§1852. TRANSFER OF PROPERTY AND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