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both counties vote to withdraw pursuant to </w:t>
      </w:r>
      <w:r>
        <w:t>section 1857</w:t>
      </w:r>
      <w:r>
        <w:t xml:space="preserve">, the board of directors shall vote to dissolve the jail authority.  The board of directors may, at any time by 2/3 vote, recommend to the counties that the jail authority be dissolved. If such a recommendation is made, the commissioners in each county shall vote on the question of dissolving the jail authority.  If the commissioners in each of the counties vote to dissolve the jail authority, the jail authority must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conclude the affairs of the jail authority and shall liquidate the jail authority's assets and liabilities by:</w:t>
      </w:r>
    </w:p>
    <w:p>
      <w:pPr>
        <w:jc w:val="both"/>
        <w:spacing w:before="100" w:after="0"/>
        <w:ind w:start="720"/>
      </w:pPr>
      <w:r>
        <w:rPr/>
        <w:t>A</w:t>
        <w:t xml:space="preserve">.  </w:t>
      </w:r>
      <w:r>
        <w:rPr/>
      </w:r>
      <w:r>
        <w:t xml:space="preserve">Paying all expenses and paying or securing the payment of all debts of the jail authority in a manner permissible by the debt instruments;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Distributing all assets and all liabilities in a manner permissible by the debt instruments proportionately between the counties in accordance with any formula contained in </w:t>
      </w:r>
      <w:r>
        <w:t>section 1954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must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§1858.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§1858.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