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municipality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municipality.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However,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municipality, by petition, may obtain judicial review to determine the validity of the procedures under which a charter was adopted, revised, modified or amended.  The petition must be brought within 30 days after the election at which the charter, revision, modification or amendment is approved.  If no such petition is filed within this period, compliance with all the procedures required by this chapter and the validity of the manner in which the charter adoption, revision, modification or amendment was approved is conclusively presumed.  No charter adoption, revision, modification or amendment may be found invalid because of any procedural error or omission unless it is shown that the error or omission materially and substantially affected the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modified or amended are invalid, the Superior Court, on its own motion or the motion of any party, may order the resubmission of the charter adoption, revision, modification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§2108.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