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w:t>
        <w:t xml:space="preserve">.  </w:t>
      </w:r>
      <w:r>
        <w:rPr>
          <w:b/>
        </w:rPr>
        <w:t xml:space="preserve">Effects of consolidation</w:t>
      </w:r>
    </w:p>
    <w:p>
      <w:pPr>
        <w:jc w:val="both"/>
        <w:spacing w:before="100" w:after="100"/>
        <w:ind w:start="360"/>
        <w:ind w:firstLine="360"/>
      </w:pPr>
      <w:r>
        <w:rPr/>
      </w:r>
      <w:r>
        <w:rPr/>
      </w:r>
      <w:r>
        <w:t xml:space="preserve">All the rights, privileges and franchises of each of the municipalities and all property, real and personal, and all debts due on whatever amounts, belonging to and of the municipalities, are transferred to and vested in the consolidated municipality, provided that all bonded debt of each municipality remains in effect after consolidation as a debt of that portion of the consolidated municipality within the limits of the former municipality that incurred the debt.  Ordinances of the former municipalities remain in effect in their respective territories until 2 years after the effective date of the consolidation when they become void.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§2154. Effects of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 Effects of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§2154. EFFECTS OF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