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2171-C-1</w:t>
        <w:t xml:space="preserve">.  </w:t>
      </w:r>
      <w:r>
        <w:rPr>
          <w:b/>
        </w:rPr>
        <w:t xml:space="preserve">Legislative authorization to proceed</w:t>
      </w:r>
    </w:p>
    <w:p>
      <w:pPr>
        <w:jc w:val="both"/>
        <w:spacing w:before="100" w:after="100"/>
        <w:ind w:start="360"/>
        <w:ind w:firstLine="360"/>
      </w:pPr>
      <w:r>
        <w:rPr/>
      </w:r>
      <w:r>
        <w:rPr/>
      </w:r>
      <w:r>
        <w:t xml:space="preserve">Within one year following the public hearing held pursuant to </w:t>
      </w:r>
      <w:r>
        <w:t>section 2171‑C</w:t>
      </w:r>
      <w:r>
        <w:t xml:space="preserve">, a representative from the secession territory shall cause legislation to be submitted to the Legislature to obtain the authorization of the Legislature to proceed with the secession process.  Unless authorization to proceed is received from the Legislature, the question of secession may not proceed to the advisory referendum held pursuant to </w:t>
      </w:r>
      <w:r>
        <w:t>section 2171‑D</w:t>
      </w:r>
      <w:r>
        <w:t xml:space="preserve">.  The authorization of the Legislature to proceed with the secession process does not affect the ultimate determination of the Legislature on the proposal for secession submitted pursuant to </w:t>
      </w:r>
      <w:r>
        <w:t>section 2171‑E</w:t>
      </w:r>
      <w:r>
        <w:t xml:space="preserve"> or </w:t>
      </w:r>
      <w:r>
        <w:t>2171‑G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§2171-C-1. Legislative authorization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§2171-C-1. Legislative authorization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§2171-C-1. LEGISLATIVE AUTHORIZATION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