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§2172. Information to be submitted with legislation proposing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Information to be submitted with legislation proposing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§2172. INFORMATION TO BE SUBMITTED WITH LEGISLATION PROPOSING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