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Funds, personnel and services</w:t>
      </w:r>
    </w:p>
    <w:p>
      <w:pPr>
        <w:jc w:val="both"/>
        <w:spacing w:before="100" w:after="100"/>
        <w:ind w:start="360"/>
        <w:ind w:firstLine="360"/>
      </w:pPr>
      <w:r>
        <w:rPr/>
      </w:r>
      <w:r>
        <w:rPr/>
      </w:r>
      <w:r>
        <w:t xml:space="preserve">Any party entering into an agreement under this chapter may appropriate funds and may sell, lease, give or otherwise supply the administrative joint board or other legal or administrative entity created to operate the joint or cooperative undertaking by providing any personnel or services for that purpose that it may legally furnish.</w:t>
      </w:r>
      <w:r>
        <w:t xml:space="preserve">  </w:t>
      </w:r>
      <w:r xmlns:wp="http://schemas.openxmlformats.org/drawingml/2010/wordprocessingDrawing" xmlns:w15="http://schemas.microsoft.com/office/word/2012/wordml">
        <w:rPr>
          <w:rFonts w:ascii="Arial" w:hAnsi="Arial" w:cs="Arial"/>
          <w:sz w:val="22"/>
          <w:szCs w:val="22"/>
        </w:rPr>
        <w:t xml:space="preserve">[PL 2009, c. 636,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§2206. Funds, personnel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Funds, personnel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§2206. FUNDS, PERSONNEL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