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Construction</w:t>
      </w:r>
    </w:p>
    <w:p>
      <w:pPr>
        <w:jc w:val="both"/>
        <w:spacing w:before="100" w:after="100"/>
        <w:ind w:start="360"/>
        <w:ind w:firstLine="360"/>
      </w:pPr>
      <w:r>
        <w:rPr/>
      </w:r>
      <w:r>
        <w:rPr/>
      </w:r>
      <w:r>
        <w:t xml:space="preserve">This subchapter must be liberally construed toward the end of enabling councils to implement municipal programs and services on behalf of member municipalities, while avoiding the creation of special districts or other legal or administrative entities to accomplish these purposes. Programs and services may include, but are not limited to, programs and services for transit, solid waste, household hazardous waste, economic development, code enforcement, general financial and administrative activities and joint purchasing.</w:t>
      </w:r>
      <w:r>
        <w:t xml:space="preserve">  </w:t>
      </w:r>
      <w:r xmlns:wp="http://schemas.openxmlformats.org/drawingml/2010/wordprocessingDrawing" xmlns:w15="http://schemas.microsoft.com/office/word/2012/wordml">
        <w:rPr>
          <w:rFonts w:ascii="Arial" w:hAnsi="Arial" w:cs="Arial"/>
          <w:sz w:val="22"/>
          <w:szCs w:val="22"/>
        </w:rPr>
        <w:t xml:space="preserve">[PL 2007, c. 215,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§2305.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