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Powers and duties</w:t>
      </w:r>
    </w:p>
    <w:p>
      <w:pPr>
        <w:jc w:val="both"/>
        <w:spacing w:before="100" w:after="100"/>
        <w:ind w:start="360"/>
        <w:ind w:firstLine="360"/>
      </w:pPr>
      <w:r>
        <w:rPr>
          <w:b/>
        </w:rPr>
        <w:t>1</w:t>
        <w:t xml:space="preserve">.  </w:t>
      </w:r>
      <w:r>
        <w:rPr>
          <w:b/>
        </w:rPr>
        <w:t xml:space="preserve">Powers.</w:t>
        <w:t xml:space="preserve"> </w:t>
      </w:r>
      <w:r>
        <w:t xml:space="preserve"> </w:t>
      </w:r>
      <w:r>
        <w:t xml:space="preserve">The council may:</w:t>
      </w:r>
    </w:p>
    <w:p>
      <w:pPr>
        <w:jc w:val="both"/>
        <w:spacing w:before="100" w:after="0"/>
        <w:ind w:start="720"/>
      </w:pPr>
      <w:r>
        <w:rPr/>
        <w:t>A</w:t>
        <w:t xml:space="preserve">.  </w:t>
      </w:r>
      <w:r>
        <w:rPr/>
      </w:r>
      <w:r>
        <w:t xml:space="preserve">Study any governmental needs and opportunities common to 2 or more members of the council that it considers appropriate, including, but not limited to, matters affecting health, safety, welfare, education, economic conditions and regional development;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B</w:t>
        <w:t xml:space="preserve">.  </w:t>
      </w:r>
      <w:r>
        <w:rPr/>
      </w:r>
      <w:r>
        <w:t xml:space="preserve">Promote cooperative arrangements and coordinate action among its members, including, but not limited to, arrangements and actions with respect to transit services, joint purchasing, solid waste management and household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C</w:t>
        <w:t xml:space="preserve">.  </w:t>
      </w:r>
      <w:r>
        <w:rPr/>
      </w:r>
      <w:r>
        <w:t xml:space="preserve">Make recommendations for review and action to its members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D</w:t>
        <w:t xml:space="preserve">.  </w:t>
      </w:r>
      <w:r>
        <w:rPr/>
      </w:r>
      <w:r>
        <w:t xml:space="preserve">Prepare and maintain a comprehensive regional plan.</w:t>
      </w:r>
      <w:r>
        <w:t xml:space="preserve">  </w:t>
      </w:r>
      <w:r xmlns:wp="http://schemas.openxmlformats.org/drawingml/2010/wordprocessingDrawing" xmlns:w15="http://schemas.microsoft.com/office/word/2012/wordml">
        <w:rPr>
          <w:rFonts w:ascii="Arial" w:hAnsi="Arial" w:cs="Arial"/>
          <w:sz w:val="22"/>
          <w:szCs w:val="22"/>
        </w:rPr>
        <w:t xml:space="preserve">[PL 2007,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§2 (AMD).]</w:t>
      </w:r>
    </w:p>
    <w:p>
      <w:pPr>
        <w:jc w:val="both"/>
        <w:spacing w:before="100" w:after="0"/>
        <w:ind w:start="360"/>
        <w:ind w:firstLine="360"/>
      </w:pPr>
      <w:r>
        <w:rPr>
          <w:b/>
        </w:rPr>
        <w:t>2</w:t>
        <w:t xml:space="preserve">.  </w:t>
      </w:r>
      <w:r>
        <w:rPr>
          <w:b/>
        </w:rPr>
        <w:t xml:space="preserve">Authority.</w:t>
        <w:t xml:space="preserve"> </w:t>
      </w:r>
      <w:r>
        <w:t xml:space="preserve"> </w:t>
      </w:r>
      <w:r>
        <w:t xml:space="preserve">The council, on behalf of one or more member municipalities and upon appropriate action of the legislative bodies of one or more member municipalities, may exercise any power, privilege or authority capable of exercise by a member municipality and necessary or desirable for dealing with problems of local or regional concern, except essential legislative powers, taxing authority or eminent domain power.  This authority is in addition to any other authority granted to municipalities by the general laws and includes, but is not limited to, the formation of transit, solid waste and other services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§3 (AMD).]</w:t>
      </w:r>
    </w:p>
    <w:p>
      <w:pPr>
        <w:jc w:val="both"/>
        <w:spacing w:before="100" w:after="0"/>
        <w:ind w:start="360"/>
        <w:ind w:firstLine="360"/>
      </w:pPr>
      <w:r>
        <w:rPr>
          <w:b/>
        </w:rPr>
        <w:t>3</w:t>
        <w:t xml:space="preserve">.  </w:t>
      </w:r>
      <w:r>
        <w:rPr>
          <w:b/>
        </w:rPr>
        <w:t xml:space="preserve">Standing committee.</w:t>
        <w:t xml:space="preserve"> </w:t>
      </w:r>
      <w:r>
        <w:t xml:space="preserve"> </w:t>
      </w:r>
      <w:r>
        <w:t xml:space="preserve">The council, by appropriate action of the legislative bodies of the member municipalities, may establish a standing committee to prepare and maintain a comprehensive regional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Transfer.</w:t>
        <w:t xml:space="preserve"> </w:t>
      </w:r>
      <w:r>
        <w:t xml:space="preserve"> </w:t>
      </w:r>
      <w:r>
        <w:t xml:space="preserve">Where a regional planning commission has been established under </w:t>
      </w:r>
      <w:r>
        <w:t>article 3</w:t>
      </w:r>
      <w:r>
        <w:t xml:space="preserve">, the member municipalities, by appropriate action, may provide for the transfer of all assets, liabilities, rights and obligations of the commission to the council and provide for the dissolution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502,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§A113 (AMD). PL 2007, c. 215,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