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§2504. Circulation of petitions for local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Circulation of petitions for local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§2504. CIRCULATION OF PETITIONS FOR LOCAL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