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2606</w:t>
        <w:t xml:space="preserve">.  </w:t>
      </w:r>
      <w:r>
        <w:rPr>
          <w:b/>
        </w:rPr>
        <w:t xml:space="preserve">Prohibited appointments</w:t>
      </w:r>
    </w:p>
    <w:p>
      <w:pPr>
        <w:jc w:val="both"/>
        <w:spacing w:before="100" w:after="100"/>
        <w:ind w:start="360"/>
        <w:ind w:firstLine="360"/>
      </w:pPr>
      <w:r>
        <w:rPr/>
      </w:r>
      <w:r>
        <w:rPr/>
      </w:r>
      <w:r>
        <w:t xml:space="preserve">No municipal officer, during the term for which that officer has been elected and for one year thereafter, may be appointed to any civil office of profit or employment position of the municipality, which was created or the compensation of which was increased by the action of the municipal officers during the officer's term. This section shall not be construed to prohibit actions allowed or required under state or federal law, municipal ordinance or municipal charter.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§2606. Prohibited appointments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§2606. Prohibited appointments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§2606. PROHIBITED APPOINTMENTS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