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Disputed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Disputed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§2852. DISPUTED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