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§2958. Fences may vary from dividing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Fences may vary from dividing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§2958. FENCES MAY VARY FROM DIVIDING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