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§3253. Safe zones designated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Safe zones designated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§3253. SAFE ZONES DESIGNATED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