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Acquisition</w:t>
      </w:r>
    </w:p>
    <w:p>
      <w:pPr>
        <w:jc w:val="both"/>
        <w:spacing w:before="100" w:after="100"/>
        <w:ind w:start="360"/>
        <w:ind w:firstLine="360"/>
      </w:pPr>
      <w:r>
        <w:rPr/>
      </w:r>
      <w:r>
        <w:rPr/>
      </w:r>
      <w:r>
        <w:t xml:space="preserve">Any municipality may, by action of its legislative body, direct its municipal officers to take suitable lands for public dumping grounds.  When so directed, the municipal officers shall follow the condemnation procedure for town ways, as provided in </w:t>
      </w:r>
      <w:r>
        <w:t>Title 23, chapter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w:t>
        <w:t xml:space="preserve"> </w:t>
      </w:r>
      <w:r>
        <w:t xml:space="preserve"> </w:t>
      </w:r>
      <w:r>
        <w:t xml:space="preserve">The public dumping ground is not established until it has been accepted, as laid out, by the municipal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Disposal.</w:t>
        <w:t xml:space="preserve"> </w:t>
      </w:r>
      <w:r>
        <w:t xml:space="preserve"> </w:t>
      </w:r>
      <w:r>
        <w:t xml:space="preserve">Any public dumping ground that ceases to be useable as such may be disposed of in the same manner as other lands owned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Public dumping grounds established under this section are subject to </w:t>
      </w:r>
      <w:r>
        <w:t>Title 12, chapter 807, subchapter IV, article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§3351. 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§3351. 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