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Record of proceedings; prosecutions</w:t>
      </w:r>
    </w:p>
    <w:p>
      <w:pPr>
        <w:jc w:val="both"/>
        <w:spacing w:before="100" w:after="100"/>
        <w:ind w:start="360"/>
        <w:ind w:firstLine="360"/>
      </w:pPr>
      <w:r>
        <w:rPr/>
      </w:r>
      <w:r>
        <w:rPr/>
      </w:r>
      <w:r>
        <w:t xml:space="preserve">All proceedings of municipal officers under this chapter must be at their legal meetings.  A suitable record shall be made of all permits issued under this chapter, describing the persons and lands to which they apply.  The municipal officers have the exclusive direction, on behalf of their municipality, of all prosecutions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§3404. Record of proceedings;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Record of proceedings;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§3404. RECORD OF PROCEEDINGS;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