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§3502-A. Formation of a transportation corridor district;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§3502-A. Formation of a transportation corridor district;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§3502-A. FORMATION OF A TRANSPORTATION CORRIDOR DISTRICT;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