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3775-A</w:t>
        <w:t xml:space="preserve">.  </w:t>
      </w:r>
      <w:r>
        <w:rPr>
          <w:b/>
        </w:rPr>
        <w:t xml:space="preserve">Holding period; inspection</w:t>
      </w:r>
    </w:p>
    <w:p>
      <w:pPr>
        <w:jc w:val="both"/>
        <w:spacing w:before="100" w:after="0"/>
        <w:ind w:start="360"/>
        <w:ind w:firstLine="360"/>
      </w:pPr>
      <w:r>
        <w:rPr>
          <w:b/>
        </w:rPr>
        <w:t>1</w:t>
        <w:t xml:space="preserve">.  </w:t>
      </w:r>
      <w:r>
        <w:rPr>
          <w:b/>
        </w:rPr>
        <w:t xml:space="preserve">Seven-day hold.</w:t>
        <w:t xml:space="preserve"> </w:t>
      </w:r>
      <w:r>
        <w:t xml:space="preserve"> </w:t>
      </w:r>
      <w:r>
        <w:t xml:space="preserve">If a law enforcement officer has a reasonable suspicion that scrap metal being held by a scrap metal processor is stolen or related to criminal activity, the officer may issue a written order to the scrap metal processor, specifying the scrap metal that must be retained and the length of time, which may not exceed 7 days, that the scrap metal processor must retain the identified scrap metal.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w:t>
      </w:r>
    </w:p>
    <w:p>
      <w:pPr>
        <w:jc w:val="both"/>
        <w:spacing w:before="100" w:after="0"/>
        <w:ind w:start="360"/>
        <w:ind w:firstLine="360"/>
      </w:pPr>
      <w:r>
        <w:rPr>
          <w:b/>
        </w:rPr>
        <w:t>2</w:t>
        <w:t xml:space="preserve">.  </w:t>
      </w:r>
      <w:r>
        <w:rPr>
          <w:b/>
        </w:rPr>
        <w:t xml:space="preserve">Additional 7-day hold.</w:t>
        <w:t xml:space="preserve"> </w:t>
      </w:r>
      <w:r>
        <w:t xml:space="preserve"> </w:t>
      </w:r>
      <w:r>
        <w:t xml:space="preserve">Prior to the expiration of the time period of the hold pursuant to </w:t>
      </w:r>
      <w:r>
        <w:t>subsection 1</w:t>
      </w:r>
      <w:r>
        <w:t xml:space="preserve">, a law enforcement officer may impose an additional hold period, which may not exceed 7 days.  The law enforcement officer imposing the additional hold shall provide the scrap metal processor with a written description of the scrap metal to be retained and the length of time the scrap metal processor must retain the identified scrap metal.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545,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§3775-A. Holding period;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§3775-A. Holding period;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§3775-A. HOLDING PERIOD;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