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Prosecutions</w:t>
      </w:r>
    </w:p>
    <w:p>
      <w:pPr>
        <w:jc w:val="both"/>
        <w:spacing w:before="100" w:after="100"/>
        <w:ind w:start="360"/>
        <w:ind w:firstLine="360"/>
      </w:pPr>
      <w:r>
        <w:rPr/>
      </w:r>
      <w:r>
        <w:rPr/>
      </w:r>
      <w:r>
        <w:t xml:space="preserve">The licensing board shall prosecute for any violation of </w:t>
      </w:r>
      <w:r>
        <w:t>sections 3811</w:t>
      </w:r>
      <w:r>
        <w:t xml:space="preserve"> to </w:t>
      </w:r>
      <w:r>
        <w:t>3813</w:t>
      </w:r>
      <w:r>
        <w:t xml:space="preserve"> and </w:t>
      </w:r>
      <w:r>
        <w:t>3831</w:t>
      </w:r>
      <w:r>
        <w:t xml:space="preserve"> to </w:t>
      </w:r>
      <w:r>
        <w:t>3834</w:t>
      </w:r>
      <w:r>
        <w:t xml:space="preserve"> that comes to its knowledge, by complaint, indictment or civil action.  All penalties recovered shall be paid to the municipality where the offense is committed.  Any citizen of the State may prosecute for any violation of </w:t>
      </w:r>
      <w:r>
        <w:t>sections 3811</w:t>
      </w:r>
      <w:r>
        <w:t xml:space="preserve"> to </w:t>
      </w:r>
      <w:r>
        <w:t>3813</w:t>
      </w:r>
      <w:r>
        <w:t xml:space="preserve"> and </w:t>
      </w:r>
      <w:r>
        <w:t>3831</w:t>
      </w:r>
      <w:r>
        <w:t xml:space="preserve"> to </w:t>
      </w:r>
      <w:r>
        <w:t>3834</w:t>
      </w:r>
      <w:r>
        <w:t xml:space="preserve"> in the same manner as the licensing board may prosecute.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§3871.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§3871.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