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§4104. PUBLIC BUILDING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