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§4212. Department of Health and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Department of Health and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§4212. DEPARTMENT OF HEALTH AND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