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Copy of bond available; evidence</w:t>
      </w:r>
    </w:p>
    <w:p>
      <w:pPr>
        <w:jc w:val="both"/>
        <w:spacing w:before="100" w:after="100"/>
        <w:ind w:start="360"/>
        <w:ind w:firstLine="360"/>
      </w:pPr>
      <w:r>
        <w:rPr/>
      </w:r>
      <w:r>
        <w:rPr/>
      </w:r>
      <w:r>
        <w:t xml:space="preserve">The Treasurer of State shall deliver an attested copy of a sheriff's bond to anyone applying and paying for it.  That copy is competent evidence in any case relating to the sheriff's bond, unless its execution is disputed, in which case the court may order the treasurer to produce the bond in court for the purposes of the trial.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 Copy of bond available;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Copy of bond available;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 COPY OF BOND AVAILABLE;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