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4455</w:t>
        <w:t xml:space="preserve">.  </w:t>
      </w:r>
      <w:r>
        <w:rPr>
          <w:b/>
        </w:rPr>
        <w:t xml:space="preserve">Registration for authority to regulate</w:t>
      </w:r>
    </w:p>
    <w:p>
      <w:pPr>
        <w:jc w:val="both"/>
        <w:spacing w:before="100" w:after="100"/>
        <w:ind w:start="360"/>
        <w:ind w:firstLine="360"/>
      </w:pPr>
      <w:r>
        <w:rPr/>
      </w:r>
      <w:r>
        <w:rPr/>
      </w:r>
      <w:r>
        <w:t xml:space="preserve">Prior to regulating a water level regime or minimum flow on any impounded body of water, a municipality shall adopt an ordinance and submit that ordinance to the Commissioner of Environmental Protection for review and approval.  An ordinance adopted under this section must include:</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w:pPr>
        <w:jc w:val="both"/>
        <w:spacing w:before="100" w:after="0"/>
        <w:ind w:start="360"/>
        <w:ind w:firstLine="360"/>
      </w:pPr>
      <w:r>
        <w:rPr>
          <w:b/>
        </w:rPr>
        <w:t>1</w:t>
        <w:t xml:space="preserve">.  </w:t>
      </w:r>
      <w:r>
        <w:rPr>
          <w:b/>
        </w:rPr>
        <w:t xml:space="preserve">Substance of state law.</w:t>
        <w:t xml:space="preserve"> </w:t>
      </w:r>
      <w:r>
        <w:t xml:space="preserve"> </w:t>
      </w:r>
      <w:r>
        <w:t xml:space="preserve">All substantive provisions of </w:t>
      </w:r>
      <w:r>
        <w:t>Title 38, chapter 5, subchapter 1, article 3‑A</w:t>
      </w:r>
      <w:r>
        <w:t xml:space="preserve">.  The ordinance may not allow a municipality to establish a water level regime or minimum flow requirements for any dam listed in Title 38, section 840, subsection 1, paragraphs A to 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w:t>
      </w:r>
    </w:p>
    <w:p>
      <w:pPr>
        <w:jc w:val="both"/>
        <w:spacing w:before="100" w:after="0"/>
        <w:ind w:start="360"/>
        <w:ind w:firstLine="360"/>
      </w:pPr>
      <w:r>
        <w:rPr>
          <w:b/>
        </w:rPr>
        <w:t>2</w:t>
        <w:t xml:space="preserve">.  </w:t>
      </w:r>
      <w:r>
        <w:rPr>
          <w:b/>
        </w:rPr>
        <w:t xml:space="preserve">Commissioner as petitioner.</w:t>
        <w:t xml:space="preserve"> </w:t>
      </w:r>
      <w:r>
        <w:t xml:space="preserve"> </w:t>
      </w:r>
      <w:r>
        <w:t xml:space="preserve">Provisions allowing the Commissioner of Environmental Protection and any municipality downstream of the impoundment to petition the municipality for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w:t>
      </w:r>
    </w:p>
    <w:p>
      <w:pPr>
        <w:jc w:val="both"/>
        <w:spacing w:before="100" w:after="100"/>
        <w:ind w:start="360"/>
        <w:ind w:firstLine="360"/>
      </w:pPr>
      <w:r>
        <w:rPr/>
      </w:r>
      <w:r>
        <w:rPr/>
      </w:r>
      <w:r>
        <w:t xml:space="preserve">An ordinance adopted under this subchapter may establish a fee for adjudicatory hearings conducted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§4455. Registration for authority to regulate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§4455. Registration for authority to regulate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§4455. REGISTRATION FOR AUTHORITY TO REGULATE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