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a river corridor commission granted approval by the commissioner under </w:t>
      </w:r>
      <w:r>
        <w:t>section 4463</w:t>
      </w:r>
      <w:r>
        <w:t xml:space="preserve"> and authorized by </w:t>
      </w:r>
      <w:r>
        <w:t>Title 5, chapter 379</w:t>
      </w:r>
      <w:r>
        <w:t xml:space="preserve">, or as established under </w:t>
      </w:r>
      <w:r>
        <w:t>Title 38, 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§6 (REV).]</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2011, c. 657, Pt. W, §§5,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