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§4483. APPEAL OF SIGNIFICANT MUNICIPAL LAND USE DECISION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