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4932</w:t>
        <w:t xml:space="preserve">.  </w:t>
      </w:r>
      <w:r>
        <w:rPr>
          <w:b/>
        </w:rPr>
        <w:t xml:space="preserve">Declaration of purpose</w:t>
      </w:r>
    </w:p>
    <w:p>
      <w:pPr>
        <w:jc w:val="both"/>
        <w:spacing w:before="100" w:after="100"/>
        <w:ind w:start="360"/>
        <w:ind w:firstLine="360"/>
      </w:pPr>
      <w:r>
        <w:rPr/>
      </w:r>
      <w:r>
        <w:rPr/>
      </w:r>
      <w:r>
        <w:t xml:space="preserve">The Constitution of Maine, Article IX, Section 14‑C, provides for insuring payment of mortgage loans for Indian housing for the purpose of "fostering and encouraging the acquisition, construction, repair and remodeling of houses owned or to be owned by members of the 2 tribes on the several Indian reservations." It is the purpose of this subchapter to designate the Maine State Housing Authority as the state agency responsible for implementing the powers provided for in the Constitution of Maine, Article IX, Section 14‑C.</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Whereas the power of the Maine State Housing Authority to insure mortgages on housing, other than Indian housing, needs clarification, and whereas the Maine State Housing Authority is the appropriate agency of the State to administer a state housing mortgage insurance program and could administer it in conjunction with the Indian Housing Mortgage Insurance Program, it is the further purpose of this subchapter to provide that clarification.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§4932.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§4932.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§4932.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