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4943</w:t>
        <w:t xml:space="preserve">.  </w:t>
      </w:r>
      <w:r>
        <w:rPr>
          <w:b/>
        </w:rPr>
        <w:t xml:space="preserve">Limitations</w:t>
      </w:r>
    </w:p>
    <w:p>
      <w:pPr>
        <w:jc w:val="both"/>
        <w:spacing w:before="100" w:after="100"/>
        <w:ind w:start="360"/>
        <w:ind w:firstLine="360"/>
      </w:pPr>
      <w:r>
        <w:rPr/>
      </w:r>
      <w:r>
        <w:rPr/>
      </w:r>
      <w:r>
        <w:t xml:space="preserve">The following limitations apply to the Elderly Homeowner Equity Loan Program and the Elderly Homeowner Equity Loan Guarantee Fund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Priority.</w:t>
        <w:t xml:space="preserve"> </w:t>
      </w:r>
      <w:r>
        <w:t xml:space="preserve"> </w:t>
      </w:r>
      <w:r>
        <w:t xml:space="preserve">Priority shall be given to low-income elderly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Participation.</w:t>
        <w:t xml:space="preserve"> </w:t>
      </w:r>
      <w:r>
        <w:t xml:space="preserve"> </w:t>
      </w:r>
      <w:r>
        <w:t xml:space="preserve">Participation is limited to applicants who are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Equity.</w:t>
        <w:t xml:space="preserve"> </w:t>
      </w:r>
      <w:r>
        <w:t xml:space="preserve"> </w:t>
      </w:r>
      <w:r>
        <w:t xml:space="preserve">The Maine State Housing Authority shall not insure, guarantee, purchase or make disbursements on loans for which the loan-to-value ratio exceeds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Use of funds.</w:t>
        <w:t xml:space="preserve"> </w:t>
      </w:r>
      <w:r>
        <w:t xml:space="preserve"> </w:t>
      </w:r>
      <w:r>
        <w:t xml:space="preserve">Loans provided to eligible recipients shall be used only for urgent matters as determined by the Maine State Housing Authority, including payment of property taxes, property maintenance, home care and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§4943.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§4943.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